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02F97" w14:textId="77777777" w:rsidR="00996D4B" w:rsidRDefault="00000000">
      <w:pPr>
        <w:pStyle w:val="Heading1"/>
      </w:pPr>
      <w:r>
        <w:t>Business Case – Project Information Management System (PIMS)</w:t>
      </w:r>
    </w:p>
    <w:p w14:paraId="7761106C" w14:textId="77777777" w:rsidR="00996D4B" w:rsidRDefault="00000000">
      <w:pPr>
        <w:pStyle w:val="Heading2"/>
      </w:pPr>
      <w:r>
        <w:t>1. Executive Summary</w:t>
      </w:r>
    </w:p>
    <w:p w14:paraId="61BFF8D7" w14:textId="77777777" w:rsidR="00996D4B" w:rsidRDefault="00000000">
      <w:r>
        <w:rPr>
          <w:b/>
          <w:bCs/>
        </w:rPr>
        <w:t>Purpose of the Proposal:</w:t>
      </w:r>
      <w:r>
        <w:t xml:space="preserve"> To seek Senior Management approval to procure and implement Oracle Aconex as the Project Information Management System (PIMS) for [PLACEHOLDER – Insert project name].</w:t>
      </w:r>
    </w:p>
    <w:p w14:paraId="1CBA48D1" w14:textId="77777777" w:rsidR="00996D4B" w:rsidRDefault="00000000">
      <w:r>
        <w:rPr>
          <w:b/>
          <w:bCs/>
        </w:rPr>
        <w:t>Problem/Opportunity:</w:t>
      </w:r>
      <w:r>
        <w:t xml:space="preserve"> Project information is currently managed through [PLACEHOLDER – Insert current systems and key challenges], limiting control, traceability and collaboration.</w:t>
      </w:r>
    </w:p>
    <w:p w14:paraId="3188454E" w14:textId="77777777" w:rsidR="00996D4B" w:rsidRDefault="00000000">
      <w:r>
        <w:rPr>
          <w:b/>
          <w:bCs/>
        </w:rPr>
        <w:t>Proposed Solution:</w:t>
      </w:r>
      <w:r>
        <w:t xml:space="preserve"> Oracle Aconex as a single, neutral platform for document control, workflows, transmittals and correspondence.</w:t>
      </w:r>
    </w:p>
    <w:p w14:paraId="53D790D5" w14:textId="77777777" w:rsidR="00996D4B" w:rsidRDefault="00000000">
      <w:r>
        <w:rPr>
          <w:b/>
          <w:bCs/>
        </w:rPr>
        <w:t>Benefits:</w:t>
      </w:r>
      <w:r>
        <w:t xml:space="preserve"> Stronger governance, a complete audit </w:t>
      </w:r>
      <w:proofErr w:type="gramStart"/>
      <w:r>
        <w:t>trail</w:t>
      </w:r>
      <w:proofErr w:type="gramEnd"/>
      <w:r>
        <w:t>, reduced rework and a structured information handover.</w:t>
      </w:r>
    </w:p>
    <w:p w14:paraId="0FDC30DF" w14:textId="77777777" w:rsidR="00996D4B" w:rsidRDefault="00000000">
      <w:r>
        <w:rPr>
          <w:b/>
          <w:bCs/>
        </w:rPr>
        <w:t>Key Metrics:</w:t>
      </w:r>
      <w:r>
        <w:t xml:space="preserve"> [PLACEHOLDER – Insert target metrics, e.g. review cycle time, transmittal turnaround, user adoption].</w:t>
      </w:r>
    </w:p>
    <w:p w14:paraId="0D4B874C" w14:textId="77777777" w:rsidR="00996D4B" w:rsidRDefault="00000000">
      <w:pPr>
        <w:pStyle w:val="Heading2"/>
      </w:pPr>
      <w:r>
        <w:t>2. Background</w:t>
      </w:r>
    </w:p>
    <w:p w14:paraId="25922F80" w14:textId="77777777" w:rsidR="00996D4B" w:rsidRDefault="00000000">
      <w:proofErr w:type="spellStart"/>
      <w:r>
        <w:t>Organisation</w:t>
      </w:r>
      <w:proofErr w:type="spellEnd"/>
      <w:r>
        <w:t xml:space="preserve"> is delivering [PLACEHOLDER – Insert project name, scope, capital value, location and delivery model]. Delivery involves multiple contractors, consultants, suppliers and stakeholders producing large volumes of engineering drawings, technical documents and formal correspondence over a multi-year lifecycle.</w:t>
      </w:r>
    </w:p>
    <w:p w14:paraId="74350083" w14:textId="77777777" w:rsidR="00996D4B" w:rsidRDefault="00000000">
      <w:r>
        <w:t>Project information is currently managed through [PLACEHOLDER – Insert current tools and practices, e.g. network drives, email, legacy EDMS]. The need for a PIMS has arisen from [PLACEHOLDER – Insert trigger, e.g. contract award, transition to detailed design, client information requirements].</w:t>
      </w:r>
    </w:p>
    <w:p w14:paraId="30619894" w14:textId="77777777" w:rsidR="00996D4B" w:rsidRDefault="00000000">
      <w:r>
        <w:t xml:space="preserve">Major infrastructure projects typically require controlled revisions, formal transmittals, auditable approvals and a complete digital handover to the asset owner, often aligned with the ISO 19650 series. </w:t>
      </w:r>
      <w:proofErr w:type="spellStart"/>
      <w:r>
        <w:t>Organisation's</w:t>
      </w:r>
      <w:proofErr w:type="spellEnd"/>
      <w:r>
        <w:t xml:space="preserve"> specific obligations are: [PLACEHOLDER – Insert contractual and client information requirements, e.g. Exchange Information Requirements, records retention obligations].</w:t>
      </w:r>
    </w:p>
    <w:p w14:paraId="2B272A54" w14:textId="77777777" w:rsidR="00996D4B" w:rsidRDefault="00000000">
      <w:pPr>
        <w:pStyle w:val="Heading2"/>
      </w:pPr>
      <w:r>
        <w:t>3. Business Need</w:t>
      </w:r>
    </w:p>
    <w:p w14:paraId="188F93B6" w14:textId="77777777" w:rsidR="00996D4B" w:rsidRDefault="00000000">
      <w:proofErr w:type="spellStart"/>
      <w:r>
        <w:t>Organisation</w:t>
      </w:r>
      <w:proofErr w:type="spellEnd"/>
      <w:r>
        <w:t xml:space="preserve"> needs a single, controlled source of project information. [PLACEHOLDER – Insert current project information management challenges].</w:t>
      </w:r>
    </w:p>
    <w:p w14:paraId="572273A0" w14:textId="77777777" w:rsidR="00996D4B" w:rsidRDefault="00000000">
      <w:r>
        <w:t xml:space="preserve">Without a fit-for-purpose PIMS, </w:t>
      </w:r>
      <w:proofErr w:type="spellStart"/>
      <w:r>
        <w:t>Organisation</w:t>
      </w:r>
      <w:proofErr w:type="spellEnd"/>
      <w:r>
        <w:t xml:space="preserve"> risks teams working from superseded documents, rework, delayed reviews and approvals, weak audit trails in claims or disputes, and an incomplete handover to the asset owner. These risks increase as contractor numbers and information volumes grow through design and construction.</w:t>
      </w:r>
    </w:p>
    <w:p w14:paraId="5FBA980A" w14:textId="77777777" w:rsidR="00996D4B" w:rsidRDefault="00000000">
      <w:pPr>
        <w:pStyle w:val="Heading2"/>
      </w:pPr>
      <w:r>
        <w:lastRenderedPageBreak/>
        <w:t>4. Options Analysis</w:t>
      </w:r>
    </w:p>
    <w:p w14:paraId="1467AC73" w14:textId="77777777" w:rsidR="00996D4B" w:rsidRDefault="00000000">
      <w:r>
        <w:t>Three established, cloud-based solutions were shortlisted. Each is credible, but their design focus differs.</w:t>
      </w:r>
    </w:p>
    <w:p w14:paraId="684F7212" w14:textId="77777777" w:rsidR="00996D4B" w:rsidRDefault="00000000">
      <w:pPr>
        <w:pStyle w:val="ListParagraph"/>
        <w:numPr>
          <w:ilvl w:val="0"/>
          <w:numId w:val="2"/>
        </w:numPr>
      </w:pPr>
      <w:r>
        <w:rPr>
          <w:b/>
          <w:bCs/>
        </w:rPr>
        <w:t>Oracle Aconex:</w:t>
      </w:r>
      <w:r>
        <w:t xml:space="preserve"> a neutral, multi-party common data environment (CDE) for document control, workflows, transmittals and correspondence; BSI Kitemark-certified against ISO 19650.</w:t>
      </w:r>
    </w:p>
    <w:p w14:paraId="4AD80284" w14:textId="77777777" w:rsidR="00996D4B" w:rsidRDefault="00000000">
      <w:pPr>
        <w:pStyle w:val="ListParagraph"/>
        <w:numPr>
          <w:ilvl w:val="0"/>
          <w:numId w:val="2"/>
        </w:numPr>
      </w:pPr>
      <w:proofErr w:type="spellStart"/>
      <w:r>
        <w:rPr>
          <w:b/>
          <w:bCs/>
        </w:rPr>
        <w:t>InEight</w:t>
      </w:r>
      <w:proofErr w:type="spellEnd"/>
      <w:r>
        <w:rPr>
          <w:b/>
          <w:bCs/>
        </w:rPr>
        <w:t xml:space="preserve"> Document:</w:t>
      </w:r>
      <w:r>
        <w:t xml:space="preserve"> capital-project document control (formerly the Australian-developed TeamBinder), used standalone or with the </w:t>
      </w:r>
      <w:proofErr w:type="spellStart"/>
      <w:r>
        <w:t>InEight</w:t>
      </w:r>
      <w:proofErr w:type="spellEnd"/>
      <w:r>
        <w:t xml:space="preserve"> project controls suite.</w:t>
      </w:r>
    </w:p>
    <w:p w14:paraId="5BE563F5" w14:textId="77777777" w:rsidR="00996D4B" w:rsidRDefault="00000000">
      <w:pPr>
        <w:pStyle w:val="ListParagraph"/>
        <w:numPr>
          <w:ilvl w:val="0"/>
          <w:numId w:val="2"/>
        </w:numPr>
      </w:pPr>
      <w:r>
        <w:rPr>
          <w:b/>
          <w:bCs/>
        </w:rPr>
        <w:t>Procore:</w:t>
      </w:r>
      <w:r>
        <w:t xml:space="preserve"> a broad construction management platform covering drawings, RFIs, submittals and field workflows, priced on annual construction volume with unlimited users.</w:t>
      </w:r>
    </w:p>
    <w:p w14:paraId="0A389E53" w14:textId="77777777" w:rsidR="00996D4B" w:rsidRDefault="00000000">
      <w:r>
        <w:t xml:space="preserve">Suitability for </w:t>
      </w:r>
      <w:proofErr w:type="spellStart"/>
      <w:r>
        <w:t>Organisation</w:t>
      </w:r>
      <w:proofErr w:type="spellEnd"/>
      <w:r>
        <w:t xml:space="preserve"> must be confirmed through the RFP evaluation.</w:t>
      </w:r>
    </w:p>
    <w:tbl>
      <w:tblPr>
        <w:tblStyle w:val="TableGrid"/>
        <w:tblW w:w="0" w:type="auto"/>
        <w:tblLayout w:type="fixed"/>
        <w:tblLook w:val="0420" w:firstRow="1" w:lastRow="0" w:firstColumn="0" w:lastColumn="0" w:noHBand="0" w:noVBand="1"/>
      </w:tblPr>
      <w:tblGrid>
        <w:gridCol w:w="1661"/>
        <w:gridCol w:w="2945"/>
        <w:gridCol w:w="2473"/>
        <w:gridCol w:w="2281"/>
      </w:tblGrid>
      <w:tr w:rsidR="00996D4B" w14:paraId="5C1ABFE7" w14:textId="77777777">
        <w:trPr>
          <w:tblHeader/>
        </w:trPr>
        <w:tc>
          <w:tcPr>
            <w:tcW w:w="1661" w:type="dxa"/>
            <w:shd w:val="clear" w:color="auto" w:fill="F2F2F2"/>
          </w:tcPr>
          <w:p w14:paraId="391E9458" w14:textId="77777777" w:rsidR="00996D4B" w:rsidRDefault="00000000">
            <w:r>
              <w:t>Consideration</w:t>
            </w:r>
          </w:p>
        </w:tc>
        <w:tc>
          <w:tcPr>
            <w:tcW w:w="2945" w:type="dxa"/>
            <w:shd w:val="clear" w:color="auto" w:fill="F2F2F2"/>
          </w:tcPr>
          <w:p w14:paraId="652DC4AA" w14:textId="77777777" w:rsidR="00996D4B" w:rsidRDefault="00000000">
            <w:hyperlink r:id="rId5" w:history="1">
              <w:r>
                <w:rPr>
                  <w:rStyle w:val="Hyperlink"/>
                </w:rPr>
                <w:t>Oracle Aconex</w:t>
              </w:r>
            </w:hyperlink>
          </w:p>
        </w:tc>
        <w:tc>
          <w:tcPr>
            <w:tcW w:w="2473" w:type="dxa"/>
            <w:shd w:val="clear" w:color="auto" w:fill="F2F2F2"/>
          </w:tcPr>
          <w:p w14:paraId="27DE9FA7" w14:textId="77777777" w:rsidR="00996D4B" w:rsidRDefault="00000000">
            <w:hyperlink r:id="rId6" w:history="1">
              <w:proofErr w:type="spellStart"/>
              <w:r>
                <w:rPr>
                  <w:rStyle w:val="Hyperlink"/>
                </w:rPr>
                <w:t>InEight</w:t>
              </w:r>
              <w:proofErr w:type="spellEnd"/>
              <w:r>
                <w:rPr>
                  <w:rStyle w:val="Hyperlink"/>
                </w:rPr>
                <w:t xml:space="preserve"> Document</w:t>
              </w:r>
            </w:hyperlink>
          </w:p>
        </w:tc>
        <w:tc>
          <w:tcPr>
            <w:tcW w:w="2281" w:type="dxa"/>
            <w:shd w:val="clear" w:color="auto" w:fill="F2F2F2"/>
          </w:tcPr>
          <w:p w14:paraId="229F80BE" w14:textId="77777777" w:rsidR="00996D4B" w:rsidRDefault="00000000">
            <w:hyperlink r:id="rId7" w:history="1">
              <w:r>
                <w:rPr>
                  <w:rStyle w:val="Hyperlink"/>
                </w:rPr>
                <w:t>Procore</w:t>
              </w:r>
            </w:hyperlink>
          </w:p>
        </w:tc>
      </w:tr>
      <w:tr w:rsidR="00996D4B" w14:paraId="3731586C" w14:textId="77777777">
        <w:tc>
          <w:tcPr>
            <w:tcW w:w="1661" w:type="dxa"/>
          </w:tcPr>
          <w:p w14:paraId="0940FAAE" w14:textId="77777777" w:rsidR="00996D4B" w:rsidRDefault="00000000">
            <w:r>
              <w:t>Design focus</w:t>
            </w:r>
          </w:p>
        </w:tc>
        <w:tc>
          <w:tcPr>
            <w:tcW w:w="2945" w:type="dxa"/>
          </w:tcPr>
          <w:p w14:paraId="1CDD9F0F" w14:textId="77777777" w:rsidR="00996D4B" w:rsidRDefault="00000000">
            <w:r>
              <w:t>Multi-party CDE across owner, contractors and consultants</w:t>
            </w:r>
          </w:p>
        </w:tc>
        <w:tc>
          <w:tcPr>
            <w:tcW w:w="2473" w:type="dxa"/>
          </w:tcPr>
          <w:p w14:paraId="7D2BBE9D" w14:textId="77777777" w:rsidR="00996D4B" w:rsidRDefault="00000000">
            <w:r>
              <w:t>Document control for capital projects</w:t>
            </w:r>
          </w:p>
        </w:tc>
        <w:tc>
          <w:tcPr>
            <w:tcW w:w="2281" w:type="dxa"/>
          </w:tcPr>
          <w:p w14:paraId="123C87C5" w14:textId="77777777" w:rsidR="00996D4B" w:rsidRDefault="00000000">
            <w:r>
              <w:t>Contractor-led construction and field management</w:t>
            </w:r>
          </w:p>
        </w:tc>
      </w:tr>
      <w:tr w:rsidR="00996D4B" w14:paraId="095787A3" w14:textId="77777777">
        <w:tc>
          <w:tcPr>
            <w:tcW w:w="1661" w:type="dxa"/>
          </w:tcPr>
          <w:p w14:paraId="7B1A087D" w14:textId="77777777" w:rsidR="00996D4B" w:rsidRDefault="00000000">
            <w:r>
              <w:t>Document control and transmittals</w:t>
            </w:r>
          </w:p>
        </w:tc>
        <w:tc>
          <w:tcPr>
            <w:tcW w:w="2945" w:type="dxa"/>
          </w:tcPr>
          <w:p w14:paraId="30C49AC6" w14:textId="77777777" w:rsidR="00996D4B" w:rsidRDefault="00000000">
            <w:r>
              <w:t>Published: controlled register, workflows, transmittals, mail</w:t>
            </w:r>
          </w:p>
        </w:tc>
        <w:tc>
          <w:tcPr>
            <w:tcW w:w="2473" w:type="dxa"/>
          </w:tcPr>
          <w:p w14:paraId="01725F0C" w14:textId="77777777" w:rsidR="00996D4B" w:rsidRDefault="00000000">
            <w:r>
              <w:t>Published: revision control, packages, tracked transmittals</w:t>
            </w:r>
          </w:p>
        </w:tc>
        <w:tc>
          <w:tcPr>
            <w:tcW w:w="2281" w:type="dxa"/>
          </w:tcPr>
          <w:p w14:paraId="1BB4FCEB" w14:textId="77777777" w:rsidR="00996D4B" w:rsidRDefault="00000000">
            <w:r>
              <w:t>Published: drawings, specifications, submittals, RFIs</w:t>
            </w:r>
          </w:p>
        </w:tc>
      </w:tr>
      <w:tr w:rsidR="00996D4B" w14:paraId="176FA512" w14:textId="77777777">
        <w:tc>
          <w:tcPr>
            <w:tcW w:w="1661" w:type="dxa"/>
          </w:tcPr>
          <w:p w14:paraId="7DFB2308" w14:textId="77777777" w:rsidR="00996D4B" w:rsidRDefault="00000000">
            <w:r>
              <w:t>Governance and auditability</w:t>
            </w:r>
          </w:p>
        </w:tc>
        <w:tc>
          <w:tcPr>
            <w:tcW w:w="2945" w:type="dxa"/>
          </w:tcPr>
          <w:p w14:paraId="267BF5E9" w14:textId="77777777" w:rsidR="00996D4B" w:rsidRDefault="00000000">
            <w:r>
              <w:t>Published: neutral workspaces, full audit trail</w:t>
            </w:r>
          </w:p>
        </w:tc>
        <w:tc>
          <w:tcPr>
            <w:tcW w:w="2473" w:type="dxa"/>
          </w:tcPr>
          <w:p w14:paraId="7C95C195" w14:textId="77777777" w:rsidR="00996D4B" w:rsidRDefault="00000000">
            <w:r>
              <w:t>Published: versions recorded to the user, auditable returns</w:t>
            </w:r>
          </w:p>
        </w:tc>
        <w:tc>
          <w:tcPr>
            <w:tcW w:w="2281" w:type="dxa"/>
          </w:tcPr>
          <w:p w14:paraId="18307E72" w14:textId="77777777" w:rsidR="00996D4B" w:rsidRDefault="00000000">
            <w:r>
              <w:t>To be validated in RFP</w:t>
            </w:r>
          </w:p>
        </w:tc>
      </w:tr>
      <w:tr w:rsidR="00996D4B" w14:paraId="35C80A64" w14:textId="77777777">
        <w:tc>
          <w:tcPr>
            <w:tcW w:w="1661" w:type="dxa"/>
          </w:tcPr>
          <w:p w14:paraId="311C6C39" w14:textId="77777777" w:rsidR="00996D4B" w:rsidRDefault="00000000">
            <w:r>
              <w:t>Standards</w:t>
            </w:r>
          </w:p>
        </w:tc>
        <w:tc>
          <w:tcPr>
            <w:tcW w:w="2945" w:type="dxa"/>
          </w:tcPr>
          <w:p w14:paraId="2A708187" w14:textId="77777777" w:rsidR="00996D4B" w:rsidRDefault="00000000">
            <w:r>
              <w:t>BSI Kitemark: ISO 19650 and DIN SPEC 91391 (2021)</w:t>
            </w:r>
          </w:p>
        </w:tc>
        <w:tc>
          <w:tcPr>
            <w:tcW w:w="2473" w:type="dxa"/>
          </w:tcPr>
          <w:p w14:paraId="3925E213" w14:textId="77777777" w:rsidR="00996D4B" w:rsidRDefault="00000000">
            <w:r>
              <w:t>To be validated in RFP</w:t>
            </w:r>
          </w:p>
        </w:tc>
        <w:tc>
          <w:tcPr>
            <w:tcW w:w="2281" w:type="dxa"/>
          </w:tcPr>
          <w:p w14:paraId="7D5EB80F" w14:textId="77777777" w:rsidR="00996D4B" w:rsidRDefault="00000000">
            <w:r>
              <w:t>To be validated in RFP</w:t>
            </w:r>
          </w:p>
        </w:tc>
      </w:tr>
      <w:tr w:rsidR="00996D4B" w14:paraId="120ACAC8" w14:textId="77777777">
        <w:tc>
          <w:tcPr>
            <w:tcW w:w="1661" w:type="dxa"/>
          </w:tcPr>
          <w:p w14:paraId="56436A61" w14:textId="77777777" w:rsidR="00996D4B" w:rsidRDefault="00000000">
            <w:r>
              <w:t>Integration</w:t>
            </w:r>
          </w:p>
        </w:tc>
        <w:tc>
          <w:tcPr>
            <w:tcW w:w="2945" w:type="dxa"/>
          </w:tcPr>
          <w:p w14:paraId="7354F316" w14:textId="77777777" w:rsidR="00996D4B" w:rsidRDefault="00000000">
            <w:r>
              <w:t>Published: BIM model coordination; Oracle ecosystem integration to be validated</w:t>
            </w:r>
          </w:p>
        </w:tc>
        <w:tc>
          <w:tcPr>
            <w:tcW w:w="2473" w:type="dxa"/>
          </w:tcPr>
          <w:p w14:paraId="1CFE89C2" w14:textId="77777777" w:rsidR="00996D4B" w:rsidRDefault="00000000">
            <w:r>
              <w:t xml:space="preserve">Published: </w:t>
            </w:r>
            <w:proofErr w:type="spellStart"/>
            <w:r>
              <w:t>InEight</w:t>
            </w:r>
            <w:proofErr w:type="spellEnd"/>
            <w:r>
              <w:t xml:space="preserve"> Contract, Change and Control modules</w:t>
            </w:r>
          </w:p>
        </w:tc>
        <w:tc>
          <w:tcPr>
            <w:tcW w:w="2281" w:type="dxa"/>
          </w:tcPr>
          <w:p w14:paraId="6BF78734" w14:textId="77777777" w:rsidR="00996D4B" w:rsidRDefault="00000000">
            <w:r>
              <w:t>Published: app marketplace and Autodesk integrations</w:t>
            </w:r>
          </w:p>
        </w:tc>
      </w:tr>
      <w:tr w:rsidR="00996D4B" w14:paraId="6E9C5259" w14:textId="77777777">
        <w:tc>
          <w:tcPr>
            <w:tcW w:w="1661" w:type="dxa"/>
          </w:tcPr>
          <w:p w14:paraId="43121BEB" w14:textId="77777777" w:rsidR="00996D4B" w:rsidRDefault="00000000">
            <w:r>
              <w:t>Commercial model</w:t>
            </w:r>
          </w:p>
        </w:tc>
        <w:tc>
          <w:tcPr>
            <w:tcW w:w="2945" w:type="dxa"/>
          </w:tcPr>
          <w:p w14:paraId="28C5E83B" w14:textId="77777777" w:rsidR="00996D4B" w:rsidRDefault="00000000">
            <w:r>
              <w:t>[PLACEHOLDER – Insert vendor pricing model]</w:t>
            </w:r>
          </w:p>
        </w:tc>
        <w:tc>
          <w:tcPr>
            <w:tcW w:w="2473" w:type="dxa"/>
          </w:tcPr>
          <w:p w14:paraId="4B6ADB73" w14:textId="77777777" w:rsidR="00996D4B" w:rsidRDefault="00000000">
            <w:r>
              <w:t>[PLACEHOLDER – Insert vendor pricing model]</w:t>
            </w:r>
          </w:p>
        </w:tc>
        <w:tc>
          <w:tcPr>
            <w:tcW w:w="2281" w:type="dxa"/>
          </w:tcPr>
          <w:p w14:paraId="5D71B792" w14:textId="77777777" w:rsidR="00996D4B" w:rsidRDefault="00000000">
            <w:r>
              <w:t>Published: annual fee on construction volume, unlimited users</w:t>
            </w:r>
          </w:p>
        </w:tc>
      </w:tr>
    </w:tbl>
    <w:p w14:paraId="7E101943" w14:textId="77777777" w:rsidR="00996D4B" w:rsidRDefault="00000000">
      <w:r>
        <w:rPr>
          <w:i/>
          <w:iCs/>
        </w:rPr>
        <w:t xml:space="preserve">"Published" = vendor or certifier material; "to be validated" = not confirmed for </w:t>
      </w:r>
      <w:proofErr w:type="spellStart"/>
      <w:r>
        <w:rPr>
          <w:i/>
          <w:iCs/>
        </w:rPr>
        <w:t>Organisation's</w:t>
      </w:r>
      <w:proofErr w:type="spellEnd"/>
      <w:r>
        <w:rPr>
          <w:i/>
          <w:iCs/>
        </w:rPr>
        <w:t xml:space="preserve"> requirements.</w:t>
      </w:r>
    </w:p>
    <w:p w14:paraId="4AA62623" w14:textId="77777777" w:rsidR="00996D4B" w:rsidRDefault="00000000">
      <w:pPr>
        <w:pStyle w:val="Heading2"/>
      </w:pPr>
      <w:r>
        <w:t>5. Proposed Solution</w:t>
      </w:r>
    </w:p>
    <w:p w14:paraId="6311DDDC" w14:textId="77777777" w:rsidR="00996D4B" w:rsidRDefault="00000000">
      <w:r>
        <w:t>Oracle Aconex is recommended because its core design, a neutral multi-party CDE, best matches the governance and collaboration demands of a major, multi-contractor infrastructure project.</w:t>
      </w:r>
    </w:p>
    <w:p w14:paraId="3F793643" w14:textId="77777777" w:rsidR="00996D4B" w:rsidRDefault="00000000">
      <w:pPr>
        <w:pStyle w:val="ListParagraph"/>
        <w:numPr>
          <w:ilvl w:val="0"/>
          <w:numId w:val="3"/>
        </w:numPr>
      </w:pPr>
      <w:r>
        <w:rPr>
          <w:b/>
          <w:bCs/>
        </w:rPr>
        <w:t>Neutral, controlled collaboration:</w:t>
      </w:r>
      <w:r>
        <w:t xml:space="preserve"> each participating </w:t>
      </w:r>
      <w:proofErr w:type="spellStart"/>
      <w:r>
        <w:t>organisation</w:t>
      </w:r>
      <w:proofErr w:type="spellEnd"/>
      <w:r>
        <w:t xml:space="preserve"> controls its own information in secure workspaces and shares only with </w:t>
      </w:r>
      <w:proofErr w:type="spellStart"/>
      <w:r>
        <w:t>authorised</w:t>
      </w:r>
      <w:proofErr w:type="spellEnd"/>
      <w:r>
        <w:t xml:space="preserve"> parties.</w:t>
      </w:r>
    </w:p>
    <w:p w14:paraId="28236D0D" w14:textId="77777777" w:rsidR="00996D4B" w:rsidRDefault="00000000">
      <w:pPr>
        <w:pStyle w:val="ListParagraph"/>
        <w:numPr>
          <w:ilvl w:val="0"/>
          <w:numId w:val="3"/>
        </w:numPr>
      </w:pPr>
      <w:r>
        <w:rPr>
          <w:b/>
          <w:bCs/>
        </w:rPr>
        <w:lastRenderedPageBreak/>
        <w:t>Auditability:</w:t>
      </w:r>
      <w:r>
        <w:t xml:space="preserve"> an unalterable audit trail of documents, workflows and correspondence supports contract administration and faster dispute resolution.</w:t>
      </w:r>
    </w:p>
    <w:p w14:paraId="721B54DA" w14:textId="77777777" w:rsidR="00996D4B" w:rsidRDefault="00000000">
      <w:pPr>
        <w:pStyle w:val="ListParagraph"/>
        <w:numPr>
          <w:ilvl w:val="0"/>
          <w:numId w:val="3"/>
        </w:numPr>
      </w:pPr>
      <w:r>
        <w:rPr>
          <w:b/>
          <w:bCs/>
        </w:rPr>
        <w:t>Standards alignment:</w:t>
      </w:r>
      <w:r>
        <w:t xml:space="preserve"> the first solution to achieve BSI Kitemark certification against ISO 19650 and DIN SPEC 91391 (November 2021).</w:t>
      </w:r>
    </w:p>
    <w:p w14:paraId="1D9313D4" w14:textId="77777777" w:rsidR="00996D4B" w:rsidRDefault="00000000">
      <w:pPr>
        <w:pStyle w:val="ListParagraph"/>
        <w:numPr>
          <w:ilvl w:val="0"/>
          <w:numId w:val="3"/>
        </w:numPr>
      </w:pPr>
      <w:r>
        <w:rPr>
          <w:b/>
          <w:bCs/>
        </w:rPr>
        <w:t>Lifecycle and handover:</w:t>
      </w:r>
      <w:r>
        <w:t xml:space="preserve"> BIM model coordination within the same CDE, supporting a connected data set at handover for asset operation.</w:t>
      </w:r>
    </w:p>
    <w:p w14:paraId="2E6C5D65" w14:textId="77777777" w:rsidR="00996D4B" w:rsidRDefault="00000000">
      <w:pPr>
        <w:pStyle w:val="ListParagraph"/>
        <w:numPr>
          <w:ilvl w:val="0"/>
          <w:numId w:val="3"/>
        </w:numPr>
      </w:pPr>
      <w:r>
        <w:rPr>
          <w:b/>
          <w:bCs/>
        </w:rPr>
        <w:t>Track record:</w:t>
      </w:r>
      <w:r>
        <w:t xml:space="preserve"> [PLACEHOLDER – Insert verified Australian infrastructure reference projects from the vendor submission].</w:t>
      </w:r>
    </w:p>
    <w:p w14:paraId="0E47BA12" w14:textId="77777777" w:rsidR="00996D4B" w:rsidRDefault="00000000">
      <w:r>
        <w:t xml:space="preserve">The alternatives remain credible. </w:t>
      </w:r>
      <w:proofErr w:type="spellStart"/>
      <w:r>
        <w:t>InEight</w:t>
      </w:r>
      <w:proofErr w:type="spellEnd"/>
      <w:r>
        <w:t xml:space="preserve"> Document offers strong document control, particularly where </w:t>
      </w:r>
      <w:proofErr w:type="spellStart"/>
      <w:r>
        <w:t>InEight</w:t>
      </w:r>
      <w:proofErr w:type="spellEnd"/>
      <w:r>
        <w:t xml:space="preserve"> project controls are already in use. Procore is well suited to contractor-led construction management. Aconex is preferred where </w:t>
      </w:r>
      <w:proofErr w:type="spellStart"/>
      <w:r>
        <w:t>Organisation</w:t>
      </w:r>
      <w:proofErr w:type="spellEnd"/>
      <w:r>
        <w:t xml:space="preserve"> must govern information across many independent parties for the life of the project. [PLACEHOLDER – Insert RFP evaluation evidence supporting this recommendation].</w:t>
      </w:r>
    </w:p>
    <w:p w14:paraId="70B9F7DD" w14:textId="77777777" w:rsidR="00996D4B" w:rsidRDefault="00000000">
      <w:pPr>
        <w:pStyle w:val="Heading2"/>
      </w:pPr>
      <w:r>
        <w:t>6. RFP Evaluation Summary</w:t>
      </w:r>
    </w:p>
    <w:p w14:paraId="2966C363" w14:textId="77777777" w:rsidR="00996D4B" w:rsidRDefault="00000000">
      <w:proofErr w:type="spellStart"/>
      <w:r>
        <w:t>Organisation</w:t>
      </w:r>
      <w:proofErr w:type="spellEnd"/>
      <w:r>
        <w:t xml:space="preserve"> conducted a competitive Request for Proposal (RFP) to select a PIMS for the project.</w:t>
      </w:r>
    </w:p>
    <w:p w14:paraId="6662683B" w14:textId="77777777" w:rsidR="00996D4B" w:rsidRDefault="00000000">
      <w:r>
        <w:rPr>
          <w:b/>
          <w:bCs/>
        </w:rPr>
        <w:t>Process and timeline:</w:t>
      </w:r>
      <w:r>
        <w:t xml:space="preserve"> [PLACEHOLDER – Insert RFP issuance date, closing date and procurement timeline]. The RFP was issued to [PLACEHOLDER – Insert invited vendors or market approach] and responses were received from [PLACEHOLDER – Insert number and names of respondents].</w:t>
      </w:r>
    </w:p>
    <w:p w14:paraId="68459345" w14:textId="77777777" w:rsidR="00996D4B" w:rsidRDefault="00000000">
      <w:r>
        <w:rPr>
          <w:b/>
          <w:bCs/>
        </w:rPr>
        <w:t>Evaluation panel:</w:t>
      </w:r>
      <w:r>
        <w:t xml:space="preserve"> [PLACEHOLDER – Insert evaluation panel composition, e.g. document control, engineering, ICT, procurement and commercial representatives, and probity adviser].</w:t>
      </w:r>
    </w:p>
    <w:p w14:paraId="502FB73A" w14:textId="77777777" w:rsidR="00996D4B" w:rsidRDefault="00000000">
      <w:r>
        <w:rPr>
          <w:b/>
          <w:bCs/>
        </w:rPr>
        <w:t>Methodology:</w:t>
      </w:r>
      <w:r>
        <w:t xml:space="preserve"> Submissions were assessed against weighted criteria set before the RFP was released. [PLACEHOLDER – Insert evaluation criteria and weightings]. Criteria for a PIMS of this type typically cover functional fit, document control and workflow capability, multi-party collaboration, security and auditability, integration, implementation approach, vendor capability and support, and whole-of-life cost. [PLACEHOLDER – Confirm evaluation stages, e.g. compliance check, technical scoring, scripted demonstrations, reference checks and commercial assessment].</w:t>
      </w:r>
    </w:p>
    <w:p w14:paraId="5194FAE5" w14:textId="77777777" w:rsidR="00996D4B" w:rsidRDefault="00000000">
      <w:r>
        <w:rPr>
          <w:b/>
          <w:bCs/>
        </w:rPr>
        <w:t>Outcomes:</w:t>
      </w:r>
      <w:r>
        <w:t xml:space="preserve"> [PLACEHOLDER – Insert evaluation scores, ranking and supporting evidence]. Oracle Aconex is recommended, subject to these results confirming it as the highest-ranked, best-value submission.</w:t>
      </w:r>
    </w:p>
    <w:p w14:paraId="5B6A0053" w14:textId="77777777" w:rsidR="00996D4B" w:rsidRDefault="00000000">
      <w:pPr>
        <w:pStyle w:val="Heading2"/>
      </w:pPr>
      <w:r>
        <w:t>7. Financial Analysis</w:t>
      </w:r>
    </w:p>
    <w:p w14:paraId="0C9B67E4" w14:textId="77777777" w:rsidR="00996D4B" w:rsidRDefault="00000000">
      <w:r>
        <w:t>Estimated costs over [PLACEHOLDER – Insert evaluation period, e.g. project duration]:</w:t>
      </w:r>
    </w:p>
    <w:p w14:paraId="40ED5358" w14:textId="77777777" w:rsidR="00996D4B" w:rsidRDefault="00000000">
      <w:pPr>
        <w:pStyle w:val="ListParagraph"/>
        <w:numPr>
          <w:ilvl w:val="0"/>
          <w:numId w:val="4"/>
        </w:numPr>
      </w:pPr>
      <w:r>
        <w:rPr>
          <w:b/>
          <w:bCs/>
        </w:rPr>
        <w:t>Capital:</w:t>
      </w:r>
      <w:r>
        <w:t xml:space="preserve"> implementation, configuration, data migration, integration and initial training – [PLACEHOLDER – Insert capital cost].</w:t>
      </w:r>
    </w:p>
    <w:p w14:paraId="6BA335AD" w14:textId="77777777" w:rsidR="00996D4B" w:rsidRDefault="00000000">
      <w:pPr>
        <w:pStyle w:val="ListParagraph"/>
        <w:numPr>
          <w:ilvl w:val="0"/>
          <w:numId w:val="4"/>
        </w:numPr>
      </w:pPr>
      <w:r>
        <w:rPr>
          <w:b/>
          <w:bCs/>
        </w:rPr>
        <w:t>Operational:</w:t>
      </w:r>
      <w:r>
        <w:t xml:space="preserve"> annual licensing, vendor support and maintenance, and ongoing training – [PLACEHOLDER – Insert annual operating cost].</w:t>
      </w:r>
    </w:p>
    <w:p w14:paraId="6F4F1E76" w14:textId="77777777" w:rsidR="00996D4B" w:rsidRDefault="00000000">
      <w:pPr>
        <w:pStyle w:val="ListParagraph"/>
        <w:numPr>
          <w:ilvl w:val="0"/>
          <w:numId w:val="4"/>
        </w:numPr>
      </w:pPr>
      <w:r>
        <w:rPr>
          <w:b/>
          <w:bCs/>
        </w:rPr>
        <w:t>Resources:</w:t>
      </w:r>
      <w:r>
        <w:t xml:space="preserve"> implementation lead, PIMS administrator and document controllers – [PLACEHOLDER – Insert FTE and cost].</w:t>
      </w:r>
    </w:p>
    <w:p w14:paraId="4950955E" w14:textId="77777777" w:rsidR="00996D4B" w:rsidRDefault="00000000">
      <w:pPr>
        <w:pStyle w:val="ListParagraph"/>
        <w:numPr>
          <w:ilvl w:val="0"/>
          <w:numId w:val="4"/>
        </w:numPr>
      </w:pPr>
      <w:r>
        <w:rPr>
          <w:b/>
          <w:bCs/>
        </w:rPr>
        <w:t>Total cost of ownership and return on investment:</w:t>
      </w:r>
      <w:r>
        <w:t xml:space="preserve"> [PLACEHOLDER – Insert TCO and ROI].</w:t>
      </w:r>
    </w:p>
    <w:p w14:paraId="337F24C5" w14:textId="77777777" w:rsidR="00996D4B" w:rsidRDefault="00000000">
      <w:pPr>
        <w:pStyle w:val="ListParagraph"/>
        <w:numPr>
          <w:ilvl w:val="0"/>
          <w:numId w:val="4"/>
        </w:numPr>
      </w:pPr>
      <w:r>
        <w:rPr>
          <w:b/>
          <w:bCs/>
        </w:rPr>
        <w:t>Funding:</w:t>
      </w:r>
      <w:r>
        <w:t xml:space="preserve"> [PLACEHOLDER – Insert budget allocation and funding source].</w:t>
      </w:r>
    </w:p>
    <w:p w14:paraId="2FB26971" w14:textId="77777777" w:rsidR="00996D4B" w:rsidRDefault="00000000">
      <w:pPr>
        <w:pStyle w:val="Heading2"/>
      </w:pPr>
      <w:r>
        <w:lastRenderedPageBreak/>
        <w:t>8. Risks and Mitigation</w:t>
      </w:r>
    </w:p>
    <w:tbl>
      <w:tblPr>
        <w:tblStyle w:val="TableGrid"/>
        <w:tblW w:w="0" w:type="auto"/>
        <w:tblLayout w:type="fixed"/>
        <w:tblLook w:val="0420" w:firstRow="1" w:lastRow="0" w:firstColumn="0" w:lastColumn="0" w:noHBand="0" w:noVBand="1"/>
      </w:tblPr>
      <w:tblGrid>
        <w:gridCol w:w="4440"/>
        <w:gridCol w:w="4920"/>
      </w:tblGrid>
      <w:tr w:rsidR="00996D4B" w14:paraId="76E511A9" w14:textId="77777777">
        <w:trPr>
          <w:tblHeader/>
        </w:trPr>
        <w:tc>
          <w:tcPr>
            <w:tcW w:w="4440" w:type="dxa"/>
            <w:shd w:val="clear" w:color="auto" w:fill="F2F2F2"/>
          </w:tcPr>
          <w:p w14:paraId="6A83DFA7" w14:textId="77777777" w:rsidR="00996D4B" w:rsidRDefault="00000000">
            <w:r>
              <w:t>Risk</w:t>
            </w:r>
          </w:p>
        </w:tc>
        <w:tc>
          <w:tcPr>
            <w:tcW w:w="4920" w:type="dxa"/>
            <w:shd w:val="clear" w:color="auto" w:fill="F2F2F2"/>
          </w:tcPr>
          <w:p w14:paraId="6027EE12" w14:textId="77777777" w:rsidR="00996D4B" w:rsidRDefault="00000000">
            <w:r>
              <w:t>Mitigation</w:t>
            </w:r>
          </w:p>
        </w:tc>
      </w:tr>
      <w:tr w:rsidR="00996D4B" w14:paraId="354AB89A" w14:textId="77777777">
        <w:tc>
          <w:tcPr>
            <w:tcW w:w="4440" w:type="dxa"/>
          </w:tcPr>
          <w:p w14:paraId="4CE37A87" w14:textId="77777777" w:rsidR="00996D4B" w:rsidRDefault="00000000">
            <w:r>
              <w:t>Low adoption by contractors and consultants</w:t>
            </w:r>
          </w:p>
        </w:tc>
        <w:tc>
          <w:tcPr>
            <w:tcW w:w="4920" w:type="dxa"/>
          </w:tcPr>
          <w:p w14:paraId="4DE069E1" w14:textId="77777777" w:rsidR="00996D4B" w:rsidRDefault="00000000">
            <w:r>
              <w:t>Contractual mandate, role-based training, nominated super-users</w:t>
            </w:r>
          </w:p>
        </w:tc>
      </w:tr>
      <w:tr w:rsidR="00996D4B" w14:paraId="044EE1F8" w14:textId="77777777">
        <w:tc>
          <w:tcPr>
            <w:tcW w:w="4440" w:type="dxa"/>
          </w:tcPr>
          <w:p w14:paraId="0E98B9F3" w14:textId="77777777" w:rsidR="00996D4B" w:rsidRDefault="00000000">
            <w:r>
              <w:t>Incomplete or inaccurate data migration</w:t>
            </w:r>
          </w:p>
        </w:tc>
        <w:tc>
          <w:tcPr>
            <w:tcW w:w="4920" w:type="dxa"/>
          </w:tcPr>
          <w:p w14:paraId="14225621" w14:textId="77777777" w:rsidR="00996D4B" w:rsidRDefault="00000000">
            <w:r>
              <w:t>Data cleansing, trial migration, validation sign-off</w:t>
            </w:r>
          </w:p>
        </w:tc>
      </w:tr>
      <w:tr w:rsidR="00996D4B" w14:paraId="5A8B60DE" w14:textId="77777777">
        <w:tc>
          <w:tcPr>
            <w:tcW w:w="4440" w:type="dxa"/>
          </w:tcPr>
          <w:p w14:paraId="613FA07D" w14:textId="77777777" w:rsidR="00996D4B" w:rsidRDefault="00000000">
            <w:r>
              <w:t xml:space="preserve">Configuration misaligned with </w:t>
            </w:r>
            <w:proofErr w:type="spellStart"/>
            <w:r>
              <w:t>Organisation's</w:t>
            </w:r>
            <w:proofErr w:type="spellEnd"/>
            <w:r>
              <w:t xml:space="preserve"> processes</w:t>
            </w:r>
          </w:p>
        </w:tc>
        <w:tc>
          <w:tcPr>
            <w:tcW w:w="4920" w:type="dxa"/>
          </w:tcPr>
          <w:p w14:paraId="60FCBA7E" w14:textId="77777777" w:rsidR="00996D4B" w:rsidRDefault="00000000">
            <w:r>
              <w:t>Agree numbering, metadata and workflow standards before build</w:t>
            </w:r>
          </w:p>
        </w:tc>
      </w:tr>
      <w:tr w:rsidR="00996D4B" w14:paraId="138BEBC8" w14:textId="77777777">
        <w:tc>
          <w:tcPr>
            <w:tcW w:w="4440" w:type="dxa"/>
          </w:tcPr>
          <w:p w14:paraId="30101079" w14:textId="77777777" w:rsidR="00996D4B" w:rsidRDefault="00000000">
            <w:r>
              <w:t>Integration or security issues</w:t>
            </w:r>
          </w:p>
        </w:tc>
        <w:tc>
          <w:tcPr>
            <w:tcW w:w="4920" w:type="dxa"/>
          </w:tcPr>
          <w:p w14:paraId="7354B40A" w14:textId="77777777" w:rsidR="00996D4B" w:rsidRDefault="00000000">
            <w:r>
              <w:t>Early integration testing and ICT security assessment</w:t>
            </w:r>
          </w:p>
        </w:tc>
      </w:tr>
      <w:tr w:rsidR="00996D4B" w14:paraId="1F297E2B" w14:textId="77777777">
        <w:tc>
          <w:tcPr>
            <w:tcW w:w="4440" w:type="dxa"/>
          </w:tcPr>
          <w:p w14:paraId="79E10CC7" w14:textId="77777777" w:rsidR="00996D4B" w:rsidRDefault="00000000">
            <w:r>
              <w:t>Data access at close-out</w:t>
            </w:r>
          </w:p>
        </w:tc>
        <w:tc>
          <w:tcPr>
            <w:tcW w:w="4920" w:type="dxa"/>
          </w:tcPr>
          <w:p w14:paraId="49B4262E" w14:textId="77777777" w:rsidR="00996D4B" w:rsidRDefault="00000000">
            <w:r>
              <w:t>Contracted data export and handover provisions</w:t>
            </w:r>
          </w:p>
        </w:tc>
      </w:tr>
    </w:tbl>
    <w:p w14:paraId="15D9E7BA" w14:textId="77777777" w:rsidR="00996D4B" w:rsidRDefault="00000000">
      <w:pPr>
        <w:pStyle w:val="Heading2"/>
      </w:pPr>
      <w:r>
        <w:t>9. Implementation Plan</w:t>
      </w:r>
    </w:p>
    <w:p w14:paraId="639B9592" w14:textId="77777777" w:rsidR="00996D4B" w:rsidRDefault="00000000">
      <w:r>
        <w:t>Implementation will be delivered in six phases (table below), with dates confirmed after contract award.</w:t>
      </w:r>
    </w:p>
    <w:tbl>
      <w:tblPr>
        <w:tblStyle w:val="TableGrid"/>
        <w:tblW w:w="0" w:type="auto"/>
        <w:tblLayout w:type="fixed"/>
        <w:tblLook w:val="0420" w:firstRow="1" w:lastRow="0" w:firstColumn="0" w:lastColumn="0" w:noHBand="0" w:noVBand="1"/>
      </w:tblPr>
      <w:tblGrid>
        <w:gridCol w:w="1662"/>
        <w:gridCol w:w="3526"/>
        <w:gridCol w:w="1621"/>
        <w:gridCol w:w="2551"/>
      </w:tblGrid>
      <w:tr w:rsidR="00996D4B" w14:paraId="4A7686BC" w14:textId="77777777">
        <w:trPr>
          <w:tblHeader/>
        </w:trPr>
        <w:tc>
          <w:tcPr>
            <w:tcW w:w="1662" w:type="dxa"/>
            <w:shd w:val="clear" w:color="auto" w:fill="F2F2F2"/>
          </w:tcPr>
          <w:p w14:paraId="62C5FB6C" w14:textId="77777777" w:rsidR="00996D4B" w:rsidRDefault="00000000">
            <w:r>
              <w:t>Phase</w:t>
            </w:r>
          </w:p>
        </w:tc>
        <w:tc>
          <w:tcPr>
            <w:tcW w:w="3526" w:type="dxa"/>
            <w:shd w:val="clear" w:color="auto" w:fill="F2F2F2"/>
          </w:tcPr>
          <w:p w14:paraId="604B41F6" w14:textId="77777777" w:rsidR="00996D4B" w:rsidRDefault="00000000">
            <w:r>
              <w:t>Key activities</w:t>
            </w:r>
          </w:p>
        </w:tc>
        <w:tc>
          <w:tcPr>
            <w:tcW w:w="1621" w:type="dxa"/>
            <w:shd w:val="clear" w:color="auto" w:fill="F2F2F2"/>
          </w:tcPr>
          <w:p w14:paraId="422E7181" w14:textId="77777777" w:rsidR="00996D4B" w:rsidRDefault="00000000">
            <w:r>
              <w:t>Milestone</w:t>
            </w:r>
          </w:p>
        </w:tc>
        <w:tc>
          <w:tcPr>
            <w:tcW w:w="2551" w:type="dxa"/>
            <w:shd w:val="clear" w:color="auto" w:fill="F2F2F2"/>
          </w:tcPr>
          <w:p w14:paraId="0AC5345D" w14:textId="77777777" w:rsidR="00996D4B" w:rsidRDefault="00000000">
            <w:r>
              <w:t>Indicative timing</w:t>
            </w:r>
          </w:p>
        </w:tc>
      </w:tr>
      <w:tr w:rsidR="00996D4B" w14:paraId="502A8DB0" w14:textId="77777777">
        <w:tc>
          <w:tcPr>
            <w:tcW w:w="1662" w:type="dxa"/>
          </w:tcPr>
          <w:p w14:paraId="401BC7EB" w14:textId="77777777" w:rsidR="00996D4B" w:rsidRDefault="00000000">
            <w:r>
              <w:t xml:space="preserve">1. </w:t>
            </w:r>
            <w:proofErr w:type="spellStart"/>
            <w:r>
              <w:t>Mobilisation</w:t>
            </w:r>
            <w:proofErr w:type="spellEnd"/>
          </w:p>
        </w:tc>
        <w:tc>
          <w:tcPr>
            <w:tcW w:w="3526" w:type="dxa"/>
          </w:tcPr>
          <w:p w14:paraId="04D15240" w14:textId="77777777" w:rsidR="00996D4B" w:rsidRDefault="00000000">
            <w:r>
              <w:t xml:space="preserve">Contract execution, team </w:t>
            </w:r>
            <w:proofErr w:type="spellStart"/>
            <w:r>
              <w:t>mobilisation</w:t>
            </w:r>
            <w:proofErr w:type="spellEnd"/>
            <w:r>
              <w:t>, implementation plan</w:t>
            </w:r>
          </w:p>
        </w:tc>
        <w:tc>
          <w:tcPr>
            <w:tcW w:w="1621" w:type="dxa"/>
          </w:tcPr>
          <w:p w14:paraId="6D4D067D" w14:textId="77777777" w:rsidR="00996D4B" w:rsidRDefault="00000000">
            <w:r>
              <w:t>Plan approved</w:t>
            </w:r>
          </w:p>
        </w:tc>
        <w:tc>
          <w:tcPr>
            <w:tcW w:w="2551" w:type="dxa"/>
          </w:tcPr>
          <w:p w14:paraId="3EFECDD1" w14:textId="77777777" w:rsidR="00996D4B" w:rsidRDefault="00000000">
            <w:r>
              <w:t>[PLACEHOLDER – Insert timing]</w:t>
            </w:r>
          </w:p>
        </w:tc>
      </w:tr>
      <w:tr w:rsidR="00996D4B" w14:paraId="0C05EF47" w14:textId="77777777">
        <w:tc>
          <w:tcPr>
            <w:tcW w:w="1662" w:type="dxa"/>
          </w:tcPr>
          <w:p w14:paraId="0B8A6CB6" w14:textId="77777777" w:rsidR="00996D4B" w:rsidRDefault="00000000">
            <w:r>
              <w:t>2. Design and configuration</w:t>
            </w:r>
          </w:p>
        </w:tc>
        <w:tc>
          <w:tcPr>
            <w:tcW w:w="3526" w:type="dxa"/>
          </w:tcPr>
          <w:p w14:paraId="58793870" w14:textId="77777777" w:rsidR="00996D4B" w:rsidRDefault="00000000">
            <w:r>
              <w:t>Numbering, metadata, workflows, permissions</w:t>
            </w:r>
          </w:p>
        </w:tc>
        <w:tc>
          <w:tcPr>
            <w:tcW w:w="1621" w:type="dxa"/>
          </w:tcPr>
          <w:p w14:paraId="3D7714FA" w14:textId="77777777" w:rsidR="00996D4B" w:rsidRDefault="00000000">
            <w:r>
              <w:t>Configuration signed off</w:t>
            </w:r>
          </w:p>
        </w:tc>
        <w:tc>
          <w:tcPr>
            <w:tcW w:w="2551" w:type="dxa"/>
          </w:tcPr>
          <w:p w14:paraId="1C6C9111" w14:textId="77777777" w:rsidR="00996D4B" w:rsidRDefault="00000000">
            <w:r>
              <w:t>[PLACEHOLDER – Insert timing]</w:t>
            </w:r>
          </w:p>
        </w:tc>
      </w:tr>
      <w:tr w:rsidR="00996D4B" w14:paraId="7F1FD555" w14:textId="77777777">
        <w:tc>
          <w:tcPr>
            <w:tcW w:w="1662" w:type="dxa"/>
          </w:tcPr>
          <w:p w14:paraId="5AB92FD0" w14:textId="77777777" w:rsidR="00996D4B" w:rsidRDefault="00000000">
            <w:r>
              <w:t>3. Migration and integration</w:t>
            </w:r>
          </w:p>
        </w:tc>
        <w:tc>
          <w:tcPr>
            <w:tcW w:w="3526" w:type="dxa"/>
          </w:tcPr>
          <w:p w14:paraId="0D6C212C" w14:textId="77777777" w:rsidR="00996D4B" w:rsidRDefault="00000000">
            <w:r>
              <w:t>Data cleansing and migration, system interfaces</w:t>
            </w:r>
          </w:p>
        </w:tc>
        <w:tc>
          <w:tcPr>
            <w:tcW w:w="1621" w:type="dxa"/>
          </w:tcPr>
          <w:p w14:paraId="084149F6" w14:textId="77777777" w:rsidR="00996D4B" w:rsidRDefault="00000000">
            <w:r>
              <w:t>Migration validated</w:t>
            </w:r>
          </w:p>
        </w:tc>
        <w:tc>
          <w:tcPr>
            <w:tcW w:w="2551" w:type="dxa"/>
          </w:tcPr>
          <w:p w14:paraId="4BBF25F4" w14:textId="77777777" w:rsidR="00996D4B" w:rsidRDefault="00000000">
            <w:r>
              <w:t>[PLACEHOLDER – Insert timing]</w:t>
            </w:r>
          </w:p>
        </w:tc>
      </w:tr>
      <w:tr w:rsidR="00996D4B" w14:paraId="2E534C8D" w14:textId="77777777">
        <w:tc>
          <w:tcPr>
            <w:tcW w:w="1662" w:type="dxa"/>
          </w:tcPr>
          <w:p w14:paraId="034819F7" w14:textId="77777777" w:rsidR="00996D4B" w:rsidRDefault="00000000">
            <w:r>
              <w:t>4. Testing and training</w:t>
            </w:r>
          </w:p>
        </w:tc>
        <w:tc>
          <w:tcPr>
            <w:tcW w:w="3526" w:type="dxa"/>
          </w:tcPr>
          <w:p w14:paraId="0018C46B" w14:textId="77777777" w:rsidR="00996D4B" w:rsidRDefault="00000000">
            <w:r>
              <w:t>User acceptance testing, role-based training</w:t>
            </w:r>
          </w:p>
        </w:tc>
        <w:tc>
          <w:tcPr>
            <w:tcW w:w="1621" w:type="dxa"/>
          </w:tcPr>
          <w:p w14:paraId="5133EC61" w14:textId="77777777" w:rsidR="00996D4B" w:rsidRDefault="00000000">
            <w:r>
              <w:t>UAT complete</w:t>
            </w:r>
          </w:p>
        </w:tc>
        <w:tc>
          <w:tcPr>
            <w:tcW w:w="2551" w:type="dxa"/>
          </w:tcPr>
          <w:p w14:paraId="500015DB" w14:textId="77777777" w:rsidR="00996D4B" w:rsidRDefault="00000000">
            <w:r>
              <w:t>[PLACEHOLDER – Insert timing]</w:t>
            </w:r>
          </w:p>
        </w:tc>
      </w:tr>
      <w:tr w:rsidR="00996D4B" w14:paraId="50B51D3F" w14:textId="77777777">
        <w:tc>
          <w:tcPr>
            <w:tcW w:w="1662" w:type="dxa"/>
          </w:tcPr>
          <w:p w14:paraId="4CAC7678" w14:textId="77777777" w:rsidR="00996D4B" w:rsidRDefault="00000000">
            <w:r>
              <w:t>5. Go-live</w:t>
            </w:r>
          </w:p>
        </w:tc>
        <w:tc>
          <w:tcPr>
            <w:tcW w:w="3526" w:type="dxa"/>
          </w:tcPr>
          <w:p w14:paraId="0F49AABF" w14:textId="77777777" w:rsidR="00996D4B" w:rsidRDefault="00000000">
            <w:r>
              <w:t xml:space="preserve">Cutover, onboarding of contractors, </w:t>
            </w:r>
            <w:proofErr w:type="spellStart"/>
            <w:r>
              <w:t>hypercare</w:t>
            </w:r>
            <w:proofErr w:type="spellEnd"/>
          </w:p>
        </w:tc>
        <w:tc>
          <w:tcPr>
            <w:tcW w:w="1621" w:type="dxa"/>
          </w:tcPr>
          <w:p w14:paraId="18280A00" w14:textId="77777777" w:rsidR="00996D4B" w:rsidRDefault="00000000">
            <w:r>
              <w:t xml:space="preserve">System </w:t>
            </w:r>
            <w:proofErr w:type="gramStart"/>
            <w:r>
              <w:t>live</w:t>
            </w:r>
            <w:proofErr w:type="gramEnd"/>
          </w:p>
        </w:tc>
        <w:tc>
          <w:tcPr>
            <w:tcW w:w="2551" w:type="dxa"/>
          </w:tcPr>
          <w:p w14:paraId="531466B5" w14:textId="77777777" w:rsidR="00996D4B" w:rsidRDefault="00000000">
            <w:r>
              <w:t>[PLACEHOLDER – Insert timing]</w:t>
            </w:r>
          </w:p>
        </w:tc>
      </w:tr>
      <w:tr w:rsidR="00996D4B" w14:paraId="034C04A2" w14:textId="77777777">
        <w:tc>
          <w:tcPr>
            <w:tcW w:w="1662" w:type="dxa"/>
          </w:tcPr>
          <w:p w14:paraId="4F2FDE84" w14:textId="77777777" w:rsidR="00996D4B" w:rsidRDefault="00000000">
            <w:r>
              <w:t>6. Operation and close-out</w:t>
            </w:r>
          </w:p>
        </w:tc>
        <w:tc>
          <w:tcPr>
            <w:tcW w:w="3526" w:type="dxa"/>
          </w:tcPr>
          <w:p w14:paraId="7A78459E" w14:textId="77777777" w:rsidR="00996D4B" w:rsidRDefault="00000000">
            <w:r>
              <w:t>Ongoing administration, handover, records archiving</w:t>
            </w:r>
          </w:p>
        </w:tc>
        <w:tc>
          <w:tcPr>
            <w:tcW w:w="1621" w:type="dxa"/>
          </w:tcPr>
          <w:p w14:paraId="7313AC2A" w14:textId="77777777" w:rsidR="00996D4B" w:rsidRDefault="00000000">
            <w:r>
              <w:t>Information handover accepted</w:t>
            </w:r>
          </w:p>
        </w:tc>
        <w:tc>
          <w:tcPr>
            <w:tcW w:w="2551" w:type="dxa"/>
          </w:tcPr>
          <w:p w14:paraId="54C0CB81" w14:textId="77777777" w:rsidR="00996D4B" w:rsidRDefault="00000000">
            <w:r>
              <w:t>[PLACEHOLDER – Insert timing]</w:t>
            </w:r>
          </w:p>
        </w:tc>
      </w:tr>
    </w:tbl>
    <w:p w14:paraId="165A7C7E" w14:textId="77777777" w:rsidR="00996D4B" w:rsidRDefault="00000000">
      <w:r>
        <w:rPr>
          <w:b/>
          <w:bCs/>
        </w:rPr>
        <w:t>Resources:</w:t>
      </w:r>
      <w:r>
        <w:t xml:space="preserve"> [PLACEHOLDER – Insert implementation team, internal roles and vendor resources].</w:t>
      </w:r>
    </w:p>
    <w:p w14:paraId="2866A5C0" w14:textId="77777777" w:rsidR="00996D4B" w:rsidRDefault="00000000">
      <w:r>
        <w:rPr>
          <w:b/>
          <w:bCs/>
        </w:rPr>
        <w:t>Governance and accountability:</w:t>
      </w:r>
      <w:r>
        <w:t xml:space="preserve"> the Project Director is the accountable sponsor. A PIMS Steering Committee oversees scope, budget and risk. The Information Manager is responsible for delivery and standards, and the vendor reports monthly against milestones. [PLACEHOLDER – Confirm governance roles and reporting lines].</w:t>
      </w:r>
    </w:p>
    <w:p w14:paraId="04F1752B" w14:textId="77777777" w:rsidR="00996D4B" w:rsidRDefault="00000000">
      <w:pPr>
        <w:pStyle w:val="Heading2"/>
      </w:pPr>
      <w:r>
        <w:lastRenderedPageBreak/>
        <w:t>10. Approval</w:t>
      </w:r>
    </w:p>
    <w:p w14:paraId="3E28B1DC" w14:textId="77777777" w:rsidR="00996D4B" w:rsidRDefault="00000000">
      <w:r>
        <w:t xml:space="preserve">Oracle Aconex is recommended as </w:t>
      </w:r>
      <w:proofErr w:type="spellStart"/>
      <w:r>
        <w:t>Organisation's</w:t>
      </w:r>
      <w:proofErr w:type="spellEnd"/>
      <w:r>
        <w:t xml:space="preserve"> PIMS because it best meets the project's </w:t>
      </w:r>
      <w:proofErr w:type="gramStart"/>
      <w:r>
        <w:t>need</w:t>
      </w:r>
      <w:proofErr w:type="gramEnd"/>
      <w:r>
        <w:t xml:space="preserve"> for controlled, auditable, multi-party information management. Expected benefits are stronger governance, reduced rework, faster reviews and a complete digital handover.</w:t>
      </w:r>
    </w:p>
    <w:p w14:paraId="3A3C2A73" w14:textId="77777777" w:rsidR="00996D4B" w:rsidRDefault="00000000">
      <w:r>
        <w:t>Senior Management is requested to:</w:t>
      </w:r>
    </w:p>
    <w:p w14:paraId="31355C57" w14:textId="77777777" w:rsidR="00996D4B" w:rsidRDefault="00000000">
      <w:pPr>
        <w:pStyle w:val="ListParagraph"/>
        <w:numPr>
          <w:ilvl w:val="0"/>
          <w:numId w:val="5"/>
        </w:numPr>
      </w:pPr>
      <w:r>
        <w:t>Approve Oracle Aconex as the preferred PIMS.</w:t>
      </w:r>
    </w:p>
    <w:p w14:paraId="672431EC" w14:textId="77777777" w:rsidR="00996D4B" w:rsidRDefault="00000000">
      <w:pPr>
        <w:pStyle w:val="ListParagraph"/>
        <w:numPr>
          <w:ilvl w:val="0"/>
          <w:numId w:val="5"/>
        </w:numPr>
      </w:pPr>
      <w:r>
        <w:t>Approve [PLACEHOLDER – Insert budget amount] in the [PLACEHOLDER – Insert financial year] budget.</w:t>
      </w:r>
    </w:p>
    <w:p w14:paraId="729C0D0A" w14:textId="77777777" w:rsidR="00996D4B" w:rsidRDefault="00000000">
      <w:pPr>
        <w:pStyle w:val="ListParagraph"/>
        <w:numPr>
          <w:ilvl w:val="0"/>
          <w:numId w:val="5"/>
        </w:numPr>
      </w:pPr>
      <w:proofErr w:type="spellStart"/>
      <w:r>
        <w:t>Authorise</w:t>
      </w:r>
      <w:proofErr w:type="spellEnd"/>
      <w:r>
        <w:t xml:space="preserve"> contract negotiation and execution with Oracle.</w:t>
      </w:r>
    </w:p>
    <w:p w14:paraId="67AD1E75" w14:textId="77777777" w:rsidR="00996D4B" w:rsidRDefault="00000000">
      <w:pPr>
        <w:pStyle w:val="Heading2"/>
      </w:pPr>
      <w:r>
        <w:t>Sources</w:t>
      </w:r>
    </w:p>
    <w:p w14:paraId="77766902" w14:textId="77777777" w:rsidR="00996D4B" w:rsidRDefault="00000000">
      <w:pPr>
        <w:pStyle w:val="ListParagraph"/>
        <w:numPr>
          <w:ilvl w:val="0"/>
          <w:numId w:val="6"/>
        </w:numPr>
      </w:pPr>
      <w:hyperlink r:id="rId8" w:history="1">
        <w:r>
          <w:rPr>
            <w:rStyle w:val="Hyperlink"/>
          </w:rPr>
          <w:t>Oracle Aconex achieves BSI certification for ISO 19650 and DIN SPEC 91391 (2021)</w:t>
        </w:r>
      </w:hyperlink>
    </w:p>
    <w:p w14:paraId="14A77142" w14:textId="77777777" w:rsidR="00996D4B" w:rsidRDefault="00000000">
      <w:pPr>
        <w:pStyle w:val="ListParagraph"/>
        <w:numPr>
          <w:ilvl w:val="0"/>
          <w:numId w:val="6"/>
        </w:numPr>
      </w:pPr>
      <w:hyperlink r:id="rId9" w:history="1">
        <w:r>
          <w:rPr>
            <w:rStyle w:val="Hyperlink"/>
          </w:rPr>
          <w:t>Common Data Environment: what you need to know (Oracle Aconex)</w:t>
        </w:r>
      </w:hyperlink>
    </w:p>
    <w:p w14:paraId="76B0AA72" w14:textId="77777777" w:rsidR="00996D4B" w:rsidRDefault="00000000">
      <w:pPr>
        <w:pStyle w:val="ListParagraph"/>
        <w:numPr>
          <w:ilvl w:val="0"/>
          <w:numId w:val="6"/>
        </w:numPr>
      </w:pPr>
      <w:hyperlink r:id="rId10" w:history="1">
        <w:r>
          <w:rPr>
            <w:rStyle w:val="Hyperlink"/>
          </w:rPr>
          <w:t>Oracle Aconex Model Coordination announcement (2019)</w:t>
        </w:r>
      </w:hyperlink>
    </w:p>
    <w:p w14:paraId="7287BD77" w14:textId="77777777" w:rsidR="00996D4B" w:rsidRDefault="00000000">
      <w:pPr>
        <w:pStyle w:val="ListParagraph"/>
        <w:numPr>
          <w:ilvl w:val="0"/>
          <w:numId w:val="6"/>
        </w:numPr>
      </w:pPr>
      <w:hyperlink r:id="rId11" w:history="1">
        <w:proofErr w:type="spellStart"/>
        <w:r>
          <w:rPr>
            <w:rStyle w:val="Hyperlink"/>
          </w:rPr>
          <w:t>InEight</w:t>
        </w:r>
        <w:proofErr w:type="spellEnd"/>
        <w:r>
          <w:rPr>
            <w:rStyle w:val="Hyperlink"/>
          </w:rPr>
          <w:t xml:space="preserve"> Document features</w:t>
        </w:r>
      </w:hyperlink>
    </w:p>
    <w:p w14:paraId="5C7C675A" w14:textId="77777777" w:rsidR="00996D4B" w:rsidRDefault="00000000">
      <w:pPr>
        <w:pStyle w:val="ListParagraph"/>
        <w:numPr>
          <w:ilvl w:val="0"/>
          <w:numId w:val="6"/>
        </w:numPr>
      </w:pPr>
      <w:hyperlink r:id="rId12" w:history="1">
        <w:proofErr w:type="spellStart"/>
        <w:r>
          <w:rPr>
            <w:rStyle w:val="Hyperlink"/>
          </w:rPr>
          <w:t>InEight</w:t>
        </w:r>
        <w:proofErr w:type="spellEnd"/>
        <w:r>
          <w:rPr>
            <w:rStyle w:val="Hyperlink"/>
          </w:rPr>
          <w:t xml:space="preserve"> Document product overview</w:t>
        </w:r>
      </w:hyperlink>
    </w:p>
    <w:p w14:paraId="2B95E1E8" w14:textId="77777777" w:rsidR="00996D4B" w:rsidRDefault="00000000">
      <w:pPr>
        <w:pStyle w:val="ListParagraph"/>
        <w:numPr>
          <w:ilvl w:val="0"/>
          <w:numId w:val="6"/>
        </w:numPr>
      </w:pPr>
      <w:hyperlink r:id="rId13" w:history="1">
        <w:proofErr w:type="spellStart"/>
        <w:r>
          <w:rPr>
            <w:rStyle w:val="Hyperlink"/>
          </w:rPr>
          <w:t>InEight</w:t>
        </w:r>
        <w:proofErr w:type="spellEnd"/>
        <w:r>
          <w:rPr>
            <w:rStyle w:val="Hyperlink"/>
          </w:rPr>
          <w:t xml:space="preserve"> acquisition of TeamBinder (IDM)</w:t>
        </w:r>
      </w:hyperlink>
    </w:p>
    <w:p w14:paraId="30083E93" w14:textId="77777777" w:rsidR="00996D4B" w:rsidRDefault="00000000">
      <w:pPr>
        <w:pStyle w:val="ListParagraph"/>
        <w:numPr>
          <w:ilvl w:val="0"/>
          <w:numId w:val="6"/>
        </w:numPr>
      </w:pPr>
      <w:hyperlink r:id="rId14" w:history="1">
        <w:r>
          <w:rPr>
            <w:rStyle w:val="Hyperlink"/>
          </w:rPr>
          <w:t>Procore overview and pricing model (</w:t>
        </w:r>
        <w:proofErr w:type="spellStart"/>
        <w:r>
          <w:rPr>
            <w:rStyle w:val="Hyperlink"/>
          </w:rPr>
          <w:t>TrustRadius</w:t>
        </w:r>
        <w:proofErr w:type="spellEnd"/>
        <w:r>
          <w:rPr>
            <w:rStyle w:val="Hyperlink"/>
          </w:rPr>
          <w:t>)</w:t>
        </w:r>
      </w:hyperlink>
    </w:p>
    <w:p w14:paraId="47555735" w14:textId="77777777" w:rsidR="00996D4B" w:rsidRDefault="00000000">
      <w:pPr>
        <w:pStyle w:val="ListParagraph"/>
        <w:numPr>
          <w:ilvl w:val="0"/>
          <w:numId w:val="6"/>
        </w:numPr>
      </w:pPr>
      <w:hyperlink r:id="rId15" w:history="1">
        <w:r>
          <w:rPr>
            <w:rStyle w:val="Hyperlink"/>
          </w:rPr>
          <w:t>Procore pricing model (</w:t>
        </w:r>
        <w:proofErr w:type="spellStart"/>
        <w:r>
          <w:rPr>
            <w:rStyle w:val="Hyperlink"/>
          </w:rPr>
          <w:t>OneCrew</w:t>
        </w:r>
        <w:proofErr w:type="spellEnd"/>
        <w:r>
          <w:rPr>
            <w:rStyle w:val="Hyperlink"/>
          </w:rPr>
          <w:t>, 2026)</w:t>
        </w:r>
      </w:hyperlink>
    </w:p>
    <w:sectPr w:rsidR="00996D4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024B6"/>
    <w:multiLevelType w:val="hybridMultilevel"/>
    <w:tmpl w:val="7BDC1B06"/>
    <w:lvl w:ilvl="0" w:tplc="2BCEC9FE">
      <w:start w:val="1"/>
      <w:numFmt w:val="bullet"/>
      <w:lvlText w:val="•"/>
      <w:lvlJc w:val="left"/>
      <w:pPr>
        <w:ind w:left="720" w:hanging="360"/>
      </w:pPr>
    </w:lvl>
    <w:lvl w:ilvl="1" w:tplc="8E387D1C">
      <w:start w:val="1"/>
      <w:numFmt w:val="bullet"/>
      <w:lvlText w:val="o"/>
      <w:lvlJc w:val="left"/>
      <w:pPr>
        <w:ind w:left="1440" w:hanging="360"/>
      </w:pPr>
    </w:lvl>
    <w:lvl w:ilvl="2" w:tplc="0C86B71C">
      <w:start w:val="1"/>
      <w:numFmt w:val="bullet"/>
      <w:lvlText w:val="▪"/>
      <w:lvlJc w:val="left"/>
      <w:pPr>
        <w:ind w:left="2160" w:hanging="360"/>
      </w:pPr>
    </w:lvl>
    <w:lvl w:ilvl="3" w:tplc="59F4412A">
      <w:start w:val="1"/>
      <w:numFmt w:val="bullet"/>
      <w:lvlText w:val="•"/>
      <w:lvlJc w:val="left"/>
      <w:pPr>
        <w:ind w:left="2880" w:hanging="360"/>
      </w:pPr>
    </w:lvl>
    <w:lvl w:ilvl="4" w:tplc="78967D92">
      <w:start w:val="1"/>
      <w:numFmt w:val="bullet"/>
      <w:lvlText w:val="o"/>
      <w:lvlJc w:val="left"/>
      <w:pPr>
        <w:ind w:left="3600" w:hanging="360"/>
      </w:pPr>
    </w:lvl>
    <w:lvl w:ilvl="5" w:tplc="B218BD14">
      <w:start w:val="1"/>
      <w:numFmt w:val="bullet"/>
      <w:lvlText w:val="▪"/>
      <w:lvlJc w:val="left"/>
      <w:pPr>
        <w:ind w:left="4320" w:hanging="360"/>
      </w:pPr>
    </w:lvl>
    <w:lvl w:ilvl="6" w:tplc="564AD928">
      <w:start w:val="1"/>
      <w:numFmt w:val="bullet"/>
      <w:lvlText w:val="•"/>
      <w:lvlJc w:val="left"/>
      <w:pPr>
        <w:ind w:left="5040" w:hanging="360"/>
      </w:pPr>
    </w:lvl>
    <w:lvl w:ilvl="7" w:tplc="5C3038EC">
      <w:start w:val="1"/>
      <w:numFmt w:val="bullet"/>
      <w:lvlText w:val="o"/>
      <w:lvlJc w:val="left"/>
      <w:pPr>
        <w:ind w:left="5760" w:hanging="360"/>
      </w:pPr>
    </w:lvl>
    <w:lvl w:ilvl="8" w:tplc="249A8BAA">
      <w:start w:val="1"/>
      <w:numFmt w:val="bullet"/>
      <w:lvlText w:val="▪"/>
      <w:lvlJc w:val="left"/>
      <w:pPr>
        <w:ind w:left="6480" w:hanging="360"/>
      </w:pPr>
    </w:lvl>
  </w:abstractNum>
  <w:abstractNum w:abstractNumId="1" w15:restartNumberingAfterBreak="0">
    <w:nsid w:val="79852829"/>
    <w:multiLevelType w:val="hybridMultilevel"/>
    <w:tmpl w:val="BE00814A"/>
    <w:lvl w:ilvl="0" w:tplc="9BACBFDE">
      <w:start w:val="1"/>
      <w:numFmt w:val="decimal"/>
      <w:lvlText w:val="%1."/>
      <w:lvlJc w:val="left"/>
      <w:pPr>
        <w:ind w:left="720" w:hanging="360"/>
      </w:pPr>
    </w:lvl>
    <w:lvl w:ilvl="1" w:tplc="427C259E">
      <w:start w:val="1"/>
      <w:numFmt w:val="lowerLetter"/>
      <w:lvlText w:val="%2."/>
      <w:lvlJc w:val="left"/>
      <w:pPr>
        <w:ind w:left="1440" w:hanging="360"/>
      </w:pPr>
    </w:lvl>
    <w:lvl w:ilvl="2" w:tplc="648A87C6">
      <w:start w:val="1"/>
      <w:numFmt w:val="lowerRoman"/>
      <w:lvlText w:val="%3."/>
      <w:lvlJc w:val="left"/>
      <w:pPr>
        <w:ind w:left="2160" w:hanging="360"/>
      </w:pPr>
    </w:lvl>
    <w:lvl w:ilvl="3" w:tplc="2EA27848">
      <w:start w:val="1"/>
      <w:numFmt w:val="decimal"/>
      <w:lvlText w:val="%4."/>
      <w:lvlJc w:val="left"/>
      <w:pPr>
        <w:ind w:left="2880" w:hanging="360"/>
      </w:pPr>
    </w:lvl>
    <w:lvl w:ilvl="4" w:tplc="EE3862A8">
      <w:start w:val="1"/>
      <w:numFmt w:val="lowerLetter"/>
      <w:lvlText w:val="%5."/>
      <w:lvlJc w:val="left"/>
      <w:pPr>
        <w:ind w:left="3600" w:hanging="360"/>
      </w:pPr>
    </w:lvl>
    <w:lvl w:ilvl="5" w:tplc="2E0011BA">
      <w:start w:val="1"/>
      <w:numFmt w:val="lowerRoman"/>
      <w:lvlText w:val="%6."/>
      <w:lvlJc w:val="left"/>
      <w:pPr>
        <w:ind w:left="4320" w:hanging="360"/>
      </w:pPr>
    </w:lvl>
    <w:lvl w:ilvl="6" w:tplc="4F62E9E4">
      <w:start w:val="1"/>
      <w:numFmt w:val="decimal"/>
      <w:lvlText w:val="%7."/>
      <w:lvlJc w:val="left"/>
      <w:pPr>
        <w:ind w:left="5040" w:hanging="360"/>
      </w:pPr>
    </w:lvl>
    <w:lvl w:ilvl="7" w:tplc="933E225C">
      <w:start w:val="1"/>
      <w:numFmt w:val="lowerLetter"/>
      <w:lvlText w:val="%8."/>
      <w:lvlJc w:val="left"/>
      <w:pPr>
        <w:ind w:left="5760" w:hanging="360"/>
      </w:pPr>
    </w:lvl>
    <w:lvl w:ilvl="8" w:tplc="7F00B7FE">
      <w:start w:val="1"/>
      <w:numFmt w:val="lowerRoman"/>
      <w:lvlText w:val="%9."/>
      <w:lvlJc w:val="left"/>
      <w:pPr>
        <w:ind w:left="6480" w:hanging="360"/>
      </w:pPr>
    </w:lvl>
  </w:abstractNum>
  <w:num w:numId="1" w16cid:durableId="1869953218">
    <w:abstractNumId w:val="0"/>
  </w:num>
  <w:num w:numId="2" w16cid:durableId="709306243">
    <w:abstractNumId w:val="0"/>
  </w:num>
  <w:num w:numId="3" w16cid:durableId="1415516851">
    <w:abstractNumId w:val="0"/>
  </w:num>
  <w:num w:numId="4" w16cid:durableId="1155492340">
    <w:abstractNumId w:val="0"/>
  </w:num>
  <w:num w:numId="5" w16cid:durableId="607616031">
    <w:abstractNumId w:val="1"/>
    <w:lvlOverride w:ilvl="0">
      <w:startOverride w:val="1"/>
    </w:lvlOverride>
  </w:num>
  <w:num w:numId="6" w16cid:durableId="1177813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96D4B"/>
    <w:rsid w:val="00525712"/>
    <w:rsid w:val="00564B29"/>
    <w:rsid w:val="006C6550"/>
    <w:rsid w:val="00996D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6B008"/>
  <w15:docId w15:val="{E477117E-A04A-421E-BBAF-F914BFA2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bCs/>
      <w:sz w:val="32"/>
      <w:szCs w:val="32"/>
    </w:rPr>
  </w:style>
  <w:style w:type="paragraph" w:styleId="Heading2">
    <w:name w:val="heading 2"/>
    <w:basedOn w:val="Normal"/>
    <w:next w:val="Normal"/>
    <w:uiPriority w:val="9"/>
    <w:unhideWhenUsed/>
    <w:qFormat/>
    <w:pPr>
      <w:keepNext/>
      <w:spacing w:before="280" w:after="100"/>
      <w:outlineLvl w:val="1"/>
    </w:pPr>
    <w:rPr>
      <w:b/>
      <w:bCs/>
      <w:sz w:val="26"/>
      <w:szCs w:val="26"/>
    </w:rPr>
  </w:style>
  <w:style w:type="paragraph" w:styleId="Heading3">
    <w:name w:val="heading 3"/>
    <w:basedOn w:val="Normal"/>
    <w:next w:val="Normal"/>
    <w:uiPriority w:val="9"/>
    <w:semiHidden/>
    <w:unhideWhenUsed/>
    <w:qFormat/>
    <w:pPr>
      <w:keepNext/>
      <w:spacing w:before="240" w:after="80"/>
      <w:outlineLvl w:val="2"/>
    </w:pPr>
    <w:rPr>
      <w:b/>
      <w:bCs/>
      <w:sz w:val="24"/>
      <w:szCs w:val="24"/>
    </w:rPr>
  </w:style>
  <w:style w:type="paragraph" w:styleId="Heading4">
    <w:name w:val="heading 4"/>
    <w:basedOn w:val="Normal"/>
    <w:next w:val="Normal"/>
    <w:uiPriority w:val="9"/>
    <w:semiHidden/>
    <w:unhideWhenUsed/>
    <w:qFormat/>
    <w:pPr>
      <w:keepNext/>
      <w:outlineLvl w:val="3"/>
    </w:pPr>
    <w:rPr>
      <w:b/>
      <w:bCs/>
    </w:rPr>
  </w:style>
  <w:style w:type="paragraph" w:styleId="Heading5">
    <w:name w:val="heading 5"/>
    <w:basedOn w:val="Normal"/>
    <w:next w:val="Normal"/>
    <w:uiPriority w:val="9"/>
    <w:semiHidden/>
    <w:unhideWhenUsed/>
    <w:qFormat/>
    <w:pPr>
      <w:keepNext/>
      <w:outlineLvl w:val="4"/>
    </w:pPr>
    <w:rPr>
      <w:b/>
      <w:bCs/>
    </w:rPr>
  </w:style>
  <w:style w:type="paragraph" w:styleId="Heading6">
    <w:name w:val="heading 6"/>
    <w:basedOn w:val="Normal"/>
    <w:next w:val="Normal"/>
    <w:uiPriority w:val="9"/>
    <w:semiHidden/>
    <w:unhideWhenUsed/>
    <w:qFormat/>
    <w:pPr>
      <w:keepNext/>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szCs w:val="56"/>
    </w:rPr>
  </w:style>
  <w:style w:type="paragraph" w:styleId="Quote">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eccafe.com/nbc/articles/1/1881691/Oracle-Aconex-Achieves-British-Standards-Institution-Certification-Building-Information-Modeling-Software" TargetMode="External"/><Relationship Id="rId13" Type="http://schemas.openxmlformats.org/officeDocument/2006/relationships/hyperlink" Target="https://idm.net.au/node/13164" TargetMode="External"/><Relationship Id="rId3" Type="http://schemas.openxmlformats.org/officeDocument/2006/relationships/settings" Target="settings.xml"/><Relationship Id="rId7" Type="http://schemas.openxmlformats.org/officeDocument/2006/relationships/hyperlink" Target="https://www.procore.com/" TargetMode="External"/><Relationship Id="rId12" Type="http://schemas.openxmlformats.org/officeDocument/2006/relationships/hyperlink" Target="https://ineight.com/?p=74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eight.com/products/ineight-document/" TargetMode="External"/><Relationship Id="rId11" Type="http://schemas.openxmlformats.org/officeDocument/2006/relationships/hyperlink" Target="https://ineight.com/?p=228499" TargetMode="External"/><Relationship Id="rId5" Type="http://schemas.openxmlformats.org/officeDocument/2006/relationships/hyperlink" Target="https://www.oracle.com/construction-engineering/aconex/" TargetMode="External"/><Relationship Id="rId15" Type="http://schemas.openxmlformats.org/officeDocument/2006/relationships/hyperlink" Target="https://www.getonecrew.com/post/procore-pricing" TargetMode="External"/><Relationship Id="rId10" Type="http://schemas.openxmlformats.org/officeDocument/2006/relationships/hyperlink" Target="https://prnewswire.com/news-releases/oracle-powers-full-bim-model-coordination-for-design-and-construction-teams-300837038.html" TargetMode="External"/><Relationship Id="rId4" Type="http://schemas.openxmlformats.org/officeDocument/2006/relationships/webSettings" Target="webSettings.xml"/><Relationship Id="rId9" Type="http://schemas.openxmlformats.org/officeDocument/2006/relationships/hyperlink" Target="https://www.engineeringnews.co.za/article/common-data-environment-cde-what-you-need-to-know-for-starters-2020-11-05" TargetMode="External"/><Relationship Id="rId14" Type="http://schemas.openxmlformats.org/officeDocument/2006/relationships/hyperlink" Target="https://www.trustradius.com/compare-products/proc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1655</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Business Case – Project Information Management System (PIMS)</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 Project Information Management System (PIMS)</dc:title>
  <dc:description>Claude Docs node/27d26cef-8621@11 docx-w8</dc:description>
  <cp:lastModifiedBy>Orlando Tonholi</cp:lastModifiedBy>
  <cp:revision>12</cp:revision>
  <dcterms:created xsi:type="dcterms:W3CDTF">2026-11-01T14:58:00Z</dcterms:created>
  <dcterms:modified xsi:type="dcterms:W3CDTF">2026-11-01T15:12:00Z</dcterms:modified>
</cp:coreProperties>
</file>